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color w:val="222222"/>
          <w:highlight w:val="white"/>
          <w:rtl w:val="0"/>
        </w:rPr>
        <w:t xml:space="preserve">Movyon è leader nello sviluppo e nell’integrazione di soluzioni di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Intelligent Transport Systems </w:t>
      </w:r>
      <w:r w:rsidDel="00000000" w:rsidR="00000000" w:rsidRPr="00000000">
        <w:rPr>
          <w:color w:val="222222"/>
          <w:highlight w:val="white"/>
          <w:rtl w:val="0"/>
        </w:rPr>
        <w:t xml:space="preserve">e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centro di eccellenza per la ricerca e l’innovazione del Gruppo Autostrade per l'Italia</w:t>
      </w:r>
      <w:r w:rsidDel="00000000" w:rsidR="00000000" w:rsidRPr="00000000">
        <w:rPr>
          <w:color w:val="222222"/>
          <w:highlight w:val="white"/>
          <w:rtl w:val="0"/>
        </w:rPr>
        <w:t xml:space="preserve">. L’azienda offre soluzioni per disegnare il futuro di una mobilità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intelligente</w:t>
      </w:r>
      <w:r w:rsidDel="00000000" w:rsidR="00000000" w:rsidRPr="00000000">
        <w:rPr>
          <w:color w:val="222222"/>
          <w:highlight w:val="white"/>
          <w:rtl w:val="0"/>
        </w:rPr>
        <w:t xml:space="preserve">,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sostenibile</w:t>
      </w:r>
      <w:r w:rsidDel="00000000" w:rsidR="00000000" w:rsidRPr="00000000">
        <w:rPr>
          <w:color w:val="222222"/>
          <w:highlight w:val="white"/>
          <w:rtl w:val="0"/>
        </w:rPr>
        <w:t xml:space="preserve"> e alimentata da una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tecnologia invisibile, ma sempre presente</w:t>
      </w:r>
      <w:r w:rsidDel="00000000" w:rsidR="00000000" w:rsidRPr="00000000">
        <w:rPr>
          <w:color w:val="222222"/>
          <w:highlight w:val="white"/>
          <w:rtl w:val="0"/>
        </w:rPr>
        <w:t xml:space="preserve">. Offre in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Italia</w:t>
      </w:r>
      <w:r w:rsidDel="00000000" w:rsidR="00000000" w:rsidRPr="00000000">
        <w:rPr>
          <w:color w:val="222222"/>
          <w:highlight w:val="white"/>
          <w:rtl w:val="0"/>
        </w:rPr>
        <w:t xml:space="preserve"> e all’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estero </w:t>
      </w:r>
      <w:r w:rsidDel="00000000" w:rsidR="00000000" w:rsidRPr="00000000">
        <w:rPr>
          <w:color w:val="222222"/>
          <w:highlight w:val="white"/>
          <w:rtl w:val="0"/>
        </w:rPr>
        <w:t xml:space="preserve">soluzioni d’avanguardia per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il</w:t>
      </w:r>
      <w:r w:rsidDel="00000000" w:rsidR="00000000" w:rsidRPr="00000000">
        <w:rPr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monitoraggio e la gestione delle infrastrutture</w:t>
      </w:r>
      <w:r w:rsidDel="00000000" w:rsidR="00000000" w:rsidRPr="00000000">
        <w:rPr>
          <w:color w:val="222222"/>
          <w:highlight w:val="white"/>
          <w:rtl w:val="0"/>
        </w:rPr>
        <w:t xml:space="preserve">, per il controllo e la gestione della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viabilità</w:t>
      </w:r>
      <w:r w:rsidDel="00000000" w:rsidR="00000000" w:rsidRPr="00000000">
        <w:rPr>
          <w:color w:val="222222"/>
          <w:highlight w:val="white"/>
          <w:rtl w:val="0"/>
        </w:rPr>
        <w:t xml:space="preserve"> e della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sicurezza</w:t>
      </w:r>
      <w:r w:rsidDel="00000000" w:rsidR="00000000" w:rsidRPr="00000000">
        <w:rPr>
          <w:color w:val="222222"/>
          <w:highlight w:val="white"/>
          <w:rtl w:val="0"/>
        </w:rPr>
        <w:t xml:space="preserve"> stradale, per il pagamento del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pedaggio</w:t>
      </w:r>
      <w:r w:rsidDel="00000000" w:rsidR="00000000" w:rsidRPr="00000000">
        <w:rPr>
          <w:color w:val="222222"/>
          <w:highlight w:val="white"/>
          <w:rtl w:val="0"/>
        </w:rPr>
        <w:t xml:space="preserve">, per realizzare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strade e città intelligenti</w:t>
      </w:r>
      <w:r w:rsidDel="00000000" w:rsidR="00000000" w:rsidRPr="00000000">
        <w:rPr>
          <w:color w:val="222222"/>
          <w:highlight w:val="white"/>
          <w:rtl w:val="0"/>
        </w:rPr>
        <w:t xml:space="preserve">. Movyon affianca i propri clienti –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PA, gestori di infrastrutture stradali e autostradali, municipalità </w:t>
      </w:r>
      <w:r w:rsidDel="00000000" w:rsidR="00000000" w:rsidRPr="00000000">
        <w:rPr>
          <w:color w:val="222222"/>
          <w:highlight w:val="white"/>
          <w:rtl w:val="0"/>
        </w:rPr>
        <w:t xml:space="preserve">e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service provider </w:t>
      </w:r>
      <w:r w:rsidDel="00000000" w:rsidR="00000000" w:rsidRPr="00000000">
        <w:rPr>
          <w:color w:val="222222"/>
          <w:highlight w:val="white"/>
          <w:rtl w:val="0"/>
        </w:rPr>
        <w:t xml:space="preserve">– affinché possano garantire alla comunità un’esperienza di viaggio più semplice, sicura e sostenibile, portando innovazione nei processi operativi e nei servizi ai viaggiatori.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